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66" w:rsidRPr="00D63081" w:rsidRDefault="00620F66" w:rsidP="00D63081">
      <w:pPr>
        <w:pStyle w:val="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D63081">
        <w:rPr>
          <w:rFonts w:ascii="TH SarabunPSK" w:hAnsi="TH SarabunPSK" w:cs="TH SarabunPSK"/>
          <w:sz w:val="36"/>
          <w:szCs w:val="36"/>
          <w:u w:val="single"/>
          <w:cs/>
        </w:rPr>
        <w:t>ยุทธศาสตร์ ของสำนักงานคณะกรรมการการอาชีวศึกษา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1.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ยกระดับคุณภาพผู้เรียนเข้าสู่มาตรฐานสากล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>2 .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เพิ่มปริมาณผู้เรียนสายอาชีพให้เพียงพอต่อความต้องการของประเทศ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3.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ส่งเสริมการมีส่วนร่วมจากทุกภาคส่วนในการจัดอาชีวศึกษา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4.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เพิ่มประสิทธิภาพบริหารจัดการให้มีมาตรฐานและคุณภาพโดยใช้หลัก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ธรรมาภิ</w:t>
      </w:r>
      <w:proofErr w:type="spell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บาล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sz w:val="32"/>
          <w:szCs w:val="32"/>
          <w:cs/>
        </w:rPr>
        <w:t>นโยบายการบริหารจัดการอาชีวศึกษา</w:t>
      </w:r>
    </w:p>
    <w:p w:rsidR="00D63081" w:rsidRPr="00D63081" w:rsidRDefault="00D63081" w:rsidP="00D63081">
      <w:pPr>
        <w:pStyle w:val="1"/>
        <w:rPr>
          <w:rFonts w:ascii="TH SarabunPSK" w:hAnsi="TH SarabunPSK" w:cs="TH SarabunPSK"/>
          <w:sz w:val="32"/>
          <w:szCs w:val="32"/>
        </w:rPr>
      </w:pPr>
      <w:r w:rsidRPr="00D63081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</w:t>
      </w:r>
      <w:r w:rsidRPr="00D63081">
        <w:rPr>
          <w:rFonts w:ascii="TH SarabunPSK" w:hAnsi="TH SarabunPSK" w:cs="TH SarabunPSK"/>
          <w:color w:val="222222"/>
          <w:sz w:val="32"/>
          <w:szCs w:val="32"/>
        </w:rPr>
        <w:t xml:space="preserve"> 1. </w:t>
      </w:r>
      <w:r w:rsidRPr="00D63081">
        <w:rPr>
          <w:rFonts w:ascii="TH SarabunPSK" w:hAnsi="TH SarabunPSK" w:cs="TH SarabunPSK"/>
          <w:color w:val="222222"/>
          <w:sz w:val="32"/>
          <w:szCs w:val="32"/>
          <w:cs/>
        </w:rPr>
        <w:t>ยกระดับคุณภาพผู้เรียนเข้าสู่มาตรฐานสากล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color w:val="222222"/>
          <w:sz w:val="32"/>
          <w:szCs w:val="32"/>
          <w:u w:val="single"/>
        </w:rPr>
      </w:pP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มิติที่ 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</w:rPr>
        <w:t xml:space="preserve">1 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การสร้างโอกาสทางการศึกษา 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</w:rPr>
        <w:t>“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  <w:cs/>
        </w:rPr>
        <w:t>เรียนฟรีมีงานทำ มีรายได้ระหว่างเรียน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</w:rPr>
        <w:t>”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proofErr w:type="gram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1.1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พัฒนาศูนย์อบรมอาชีวศึกษา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1.2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เทียบโอนประสบการณ์สายอาชีพจบ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ปวช.</w:t>
      </w:r>
      <w:proofErr w:type="spellEnd"/>
      <w:proofErr w:type="gram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 xml:space="preserve"> ได้ใน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8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เดือน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1.3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จัดตั้งสถาบันการอาชีวศึกษา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1.4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จัดตั้งและขยายศูนย์ซ่อมสร้าง เพื่อชุมชน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Fix </w:t>
      </w:r>
      <w:proofErr w:type="gram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>It</w:t>
      </w:r>
      <w:proofErr w:type="gram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 Center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1.5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 xml:space="preserve">ศูนย์ฝึกอาชีพชุมชน สนับสนุน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>OTOP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1.6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ขยายให้มีผู้เรียนอาชีวศึกษาเพิ่มขึ้น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1.7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ลดการออกกลางคัน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1.8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ขยายโอกาสในการศึกษาด้านอาชีวศึกษาถึงระดับปริญญาตรีสายปฏิบัติการ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1.9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สอนวิชาชีพ เพื่อคนพิการในสถานศึกษา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1.10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สนับสนุนค่าใช้จ่ายในการจัดการศึกษาตั้งแต่อนุบาลจนจบการศึกษาขั้นพื้นฐาน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1.11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จัดอาชีวศึกษาและพัฒนาอาชีพ สร้างงานสร้างรายได้ในกลุ่มพื้นที่ชายแดนภาคใต้</w:t>
      </w:r>
    </w:p>
    <w:p w:rsidR="00D63081" w:rsidRPr="00D63081" w:rsidRDefault="00D63081" w:rsidP="00D63081">
      <w:pPr>
        <w:pStyle w:val="1"/>
        <w:rPr>
          <w:rFonts w:ascii="TH SarabunPSK" w:hAnsi="TH SarabunPSK" w:cs="TH SarabunPSK"/>
          <w:sz w:val="32"/>
          <w:szCs w:val="32"/>
        </w:rPr>
      </w:pPr>
      <w:r w:rsidRPr="00D63081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</w:t>
      </w:r>
      <w:r w:rsidRPr="00D630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3081">
        <w:rPr>
          <w:rFonts w:ascii="TH SarabunPSK" w:hAnsi="TH SarabunPSK" w:cs="TH SarabunPSK"/>
          <w:sz w:val="32"/>
          <w:szCs w:val="32"/>
        </w:rPr>
        <w:t>2 .</w:t>
      </w:r>
      <w:r w:rsidRPr="00D63081">
        <w:rPr>
          <w:rFonts w:ascii="TH SarabunPSK" w:hAnsi="TH SarabunPSK" w:cs="TH SarabunPSK"/>
          <w:sz w:val="32"/>
          <w:szCs w:val="32"/>
          <w:cs/>
        </w:rPr>
        <w:t>เพิ่มปริมาณผู้เรียนสายอาชีพให้เพียงพอต่อความต้องการของประเทศ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sz w:val="32"/>
          <w:szCs w:val="32"/>
          <w:u w:val="single"/>
        </w:rPr>
      </w:pPr>
      <w:r w:rsidRPr="00D63081">
        <w:rPr>
          <w:rFonts w:ascii="TH SarabunPSK" w:hAnsi="TH SarabunPSK" w:cs="TH SarabunPSK"/>
          <w:sz w:val="32"/>
          <w:szCs w:val="32"/>
          <w:u w:val="single"/>
          <w:cs/>
        </w:rPr>
        <w:t xml:space="preserve">มิติที่ </w:t>
      </w:r>
      <w:r w:rsidRPr="00D63081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D63081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การพัฒนาคุณภาพ </w:t>
      </w:r>
      <w:r w:rsidRPr="00D63081">
        <w:rPr>
          <w:rFonts w:ascii="TH SarabunPSK" w:hAnsi="TH SarabunPSK" w:cs="TH SarabunPSK"/>
          <w:sz w:val="32"/>
          <w:szCs w:val="32"/>
          <w:u w:val="single"/>
        </w:rPr>
        <w:t>“</w:t>
      </w:r>
      <w:r w:rsidRPr="00D63081">
        <w:rPr>
          <w:rFonts w:ascii="TH SarabunPSK" w:hAnsi="TH SarabunPSK" w:cs="TH SarabunPSK"/>
          <w:sz w:val="32"/>
          <w:szCs w:val="32"/>
          <w:u w:val="single"/>
          <w:cs/>
        </w:rPr>
        <w:t>ปรับการเรียนเปลี่ยนการสอน ปฏิรูปการสอบ ให้ทันกับยุคสมัยอย่างมีคุณภาพ</w:t>
      </w:r>
      <w:r w:rsidRPr="00D63081">
        <w:rPr>
          <w:rFonts w:ascii="TH SarabunPSK" w:hAnsi="TH SarabunPSK" w:cs="TH SarabunPSK"/>
          <w:sz w:val="32"/>
          <w:szCs w:val="32"/>
          <w:u w:val="single"/>
        </w:rPr>
        <w:t>”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bdr w:val="none" w:sz="0" w:space="0" w:color="auto" w:frame="1"/>
          <w:cs/>
        </w:rPr>
        <w:t>ด้านคุณภาพผู้เรียน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2.1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เร่งยกระดับคุณภาพผู้เรียนให้พร้อมเข้าสู่ประชาคมอาเซียน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2.2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ปฏิรูปกระบวนการเรียนรู้ โดยยึดผู้เรียนเป็นศูนย์กลาง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2.3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ปรับปรุงหลักสูตรอาชีวศึกษาทุกระดับ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2.4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ยกระดับคุณภาพผู้เรียน โดยอิงผลการประเมินระดับชาติ (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V - Net)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และการประเมินมาตรฐานวิชาชีพ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lastRenderedPageBreak/>
        <w:t xml:space="preserve">2.5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พัฒนาแนวทางการประเมินผู้เรียนตามสภาพจริง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2.6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ร่วมมือกับภาคเอกชน ในการเรียนการสอน และฝึกงานในสถานประกอบการ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2.7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พัฒนาคุณภาพผู้เรียนด้วยกิจกรรมองค์การวิชาชีพ การบริการสังคม จิตอาสาและกีฬา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bdr w:val="none" w:sz="0" w:space="0" w:color="auto" w:frame="1"/>
          <w:cs/>
        </w:rPr>
        <w:t>ด้านคุณภาพสถานศึกษา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2.8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พัฒนาระบบประกันคุณภาพภายใน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2.9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ยกระดับมาตรฐานสถานศึกษา โดยอิงผลการประเมินของ สมศ.ด้านคุณภาพการเรียนการสอน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2.10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วิจัยปฏิบัติการ เพื่อพัฒนาระบบการเรียนรู้สู่การเป็นผู้ประกอบการ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2.11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ส่งเสริมการพัฒนานวัตกรรมของผู้เรียนและผู้สอน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2.12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ส่งเสริมนวัตกรรม การจัดการอาชีวศึกษา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โรงเรียนเทคโนโลยีฐานวิทยาศาสตร์(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Project Based Learning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และการประดิษฐ์คิดค้น)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วิทยาลัยเทคนิคมาบตาพุด (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>Constructionism</w:t>
      </w:r>
      <w:proofErr w:type="spell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>)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วิทยาลัยการท่องเที่ยว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ถลาง</w:t>
      </w:r>
      <w:proofErr w:type="spell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2.13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 xml:space="preserve">จัดการเรียนการสอน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>English Program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 xml:space="preserve">และ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Mini English Program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ด้านอาชีวศึกษา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2.14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นำระบบเทคโนโลยีสารสนเทศมาใช้เพื่อการเรียนการสอน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bdr w:val="none" w:sz="0" w:space="0" w:color="auto" w:frame="1"/>
          <w:cs/>
        </w:rPr>
        <w:t>ด้านคุณภาพครู</w:t>
      </w:r>
    </w:p>
    <w:p w:rsidR="00620F66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2.15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กำ</w:t>
      </w:r>
      <w:r w:rsid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ห</w:t>
      </w:r>
      <w:r w:rsidR="00D63081">
        <w:rPr>
          <w:rFonts w:ascii="TH SarabunPSK" w:hAnsi="TH SarabunPSK" w:cs="TH SarabunPSK" w:hint="cs"/>
          <w:b w:val="0"/>
          <w:bCs w:val="0"/>
          <w:color w:val="222222"/>
          <w:sz w:val="32"/>
          <w:szCs w:val="32"/>
          <w:cs/>
        </w:rPr>
        <w:t>น</w:t>
      </w:r>
      <w:r w:rsid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ดมาตรฐานสมรรถนะค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รูอาชีวศึกษา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2.16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พัฒนาครู โดยใช้เครือข่าย/สมาคมวิชาชีพ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2.17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พัฒนาระบบนิเทศภายใน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2.18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เร่งยกระดับ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วิทย</w:t>
      </w:r>
      <w:proofErr w:type="spell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ฐานะ</w:t>
      </w:r>
    </w:p>
    <w:p w:rsidR="00D63081" w:rsidRPr="00D63081" w:rsidRDefault="00D63081" w:rsidP="00D63081">
      <w:pPr>
        <w:pStyle w:val="1"/>
        <w:rPr>
          <w:rFonts w:ascii="TH SarabunPSK" w:hAnsi="TH SarabunPSK" w:cs="TH SarabunPSK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</w:t>
      </w:r>
      <w:r w:rsidRPr="00D630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3081">
        <w:rPr>
          <w:rFonts w:ascii="TH SarabunPSK" w:hAnsi="TH SarabunPSK" w:cs="TH SarabunPSK"/>
          <w:color w:val="222222"/>
          <w:sz w:val="32"/>
          <w:szCs w:val="32"/>
        </w:rPr>
        <w:t xml:space="preserve">3. </w:t>
      </w:r>
      <w:r w:rsidRPr="00D63081">
        <w:rPr>
          <w:rFonts w:ascii="TH SarabunPSK" w:hAnsi="TH SarabunPSK" w:cs="TH SarabunPSK"/>
          <w:color w:val="222222"/>
          <w:sz w:val="32"/>
          <w:szCs w:val="32"/>
          <w:cs/>
        </w:rPr>
        <w:t>ส่งเสริมการมีส่วนร่วมจากทุกภาคส่วนในการจัดอาชีวศึกษา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color w:val="222222"/>
          <w:sz w:val="32"/>
          <w:szCs w:val="32"/>
          <w:u w:val="single"/>
        </w:rPr>
      </w:pP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มิติที่ 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</w:rPr>
        <w:t xml:space="preserve">3 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bdr w:val="none" w:sz="0" w:space="0" w:color="auto" w:frame="1"/>
          <w:cs/>
        </w:rPr>
        <w:t>การสร้างประสิทธิภาพในด้านการ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cs/>
        </w:rPr>
        <w:t xml:space="preserve">บริหารจัดการ 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</w:rPr>
        <w:t>“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  <w:cs/>
        </w:rPr>
        <w:t>การบริหารจัดการเป็นที่ยอมรับเชื่อมั่น มีเอกภาพ ใช้เทคโนโลยีสนับสนุน</w:t>
      </w:r>
      <w:r w:rsidRPr="00D63081">
        <w:rPr>
          <w:rFonts w:ascii="TH SarabunPSK" w:hAnsi="TH SarabunPSK" w:cs="TH SarabunPSK"/>
          <w:color w:val="222222"/>
          <w:sz w:val="32"/>
          <w:szCs w:val="32"/>
          <w:u w:val="single"/>
        </w:rPr>
        <w:t>”</w:t>
      </w:r>
    </w:p>
    <w:p w:rsidR="00620F66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3.1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พัฒนาระบบฐานข้อมูล สนับสนุนการวางแผนและการพัฒนาคุณภาพ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3.2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 xml:space="preserve">นำระบบ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ICT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มาใช้เพื่อการบริหารจัดการ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3.3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บริหารงานบุคคล โดยใช้หลัก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ธรรมาภิ</w:t>
      </w:r>
      <w:proofErr w:type="spell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บาล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ดูแลและแก้ปัญหาครูจ้างสอ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นและใบประกอบวิชาชีพ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สร้างขวัญ กำลังใจ และจิตสำนึกในความเป็นเจ้าขององค์กร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3.4 </w:t>
      </w:r>
      <w:r w:rsid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ป้องกันและแก้ปัญหายาเสพ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ติดในสถานศึกษา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lastRenderedPageBreak/>
        <w:t xml:space="preserve">3.5 </w:t>
      </w:r>
      <w:r w:rsid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จัดสรรงบประมาณ/ทรัพยาก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รอย่างเหมาะสม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ครุภัณฑ์มาตรฐานขั้นพื้นฐาน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-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สถานศึกษาขนาดเล็ก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3.6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กระจายอำนาจการบริหารงบประมาณ</w:t>
      </w:r>
    </w:p>
    <w:p w:rsidR="00D63081" w:rsidRPr="00D63081" w:rsidRDefault="00D63081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ยุทธศาสตร์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 4.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เพิ่มประสิทธิภาพบริหารจัดการให้มีมาตรฐานและคุณภาพโดยใช้หลัก</w:t>
      </w:r>
      <w:proofErr w:type="spellStart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ธรรมาภิ</w:t>
      </w:r>
      <w:proofErr w:type="spellEnd"/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บาล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มิติที่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  <w:bdr w:val="none" w:sz="0" w:space="0" w:color="auto" w:frame="1"/>
        </w:rPr>
        <w:t xml:space="preserve">4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  <w:bdr w:val="none" w:sz="0" w:space="0" w:color="auto" w:frame="1"/>
          <w:cs/>
        </w:rPr>
        <w:t>ความร่วมมือในการจัดการอาชีวศึกษา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  <w:bdr w:val="none" w:sz="0" w:space="0" w:color="auto" w:frame="1"/>
        </w:rPr>
        <w:t>“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  <w:bdr w:val="none" w:sz="0" w:space="0" w:color="auto" w:frame="1"/>
          <w:cs/>
        </w:rPr>
        <w:t>เพิ่มทักษะวิชาชีพ ด้วยความร่วมมือในและต่างประเทศ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u w:val="single"/>
          <w:bdr w:val="none" w:sz="0" w:space="0" w:color="auto" w:frame="1"/>
        </w:rPr>
        <w:t>”</w:t>
      </w:r>
    </w:p>
    <w:p w:rsidR="00620F66" w:rsidRPr="00D63081" w:rsidRDefault="00620F66" w:rsidP="00D63081">
      <w:pPr>
        <w:pStyle w:val="1"/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</w:pP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t xml:space="preserve">4.1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จัดตั้งกองทุนอาชีวศึกษาเพื่อการพัฒนาและฝึกอบรมวิชาชีพ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4.2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เพิ่มการจัดอาชีวศึกษาระบบทวิภาคีทุกระดับ ฝึกประสบการณ์วิชาชีพ ทั้งในและต่างประเทศ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4.3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ขยายความร่วมมือกับภาครัฐและเอกชนในรูปแบบต่างๆ ในการพัฒนานักศึกษา พัฒนาครูพัฒนาการเรียนการสอน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</w:rPr>
        <w:br/>
        <w:t xml:space="preserve">4.4 </w:t>
      </w:r>
      <w:r w:rsidRPr="00D63081">
        <w:rPr>
          <w:rFonts w:ascii="TH SarabunPSK" w:hAnsi="TH SarabunPSK" w:cs="TH SarabunPSK"/>
          <w:b w:val="0"/>
          <w:bCs w:val="0"/>
          <w:color w:val="222222"/>
          <w:sz w:val="32"/>
          <w:szCs w:val="32"/>
          <w:cs/>
        </w:rPr>
        <w:t>ร่วมกับประเทศในอาเซียน พัฒนาคุณภาพการอาชีวศึกษา</w:t>
      </w:r>
    </w:p>
    <w:p w:rsidR="00EF33AF" w:rsidRPr="00D63081" w:rsidRDefault="00EF33AF" w:rsidP="00D63081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EF33AF" w:rsidRPr="00D63081" w:rsidSect="00EF3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0F66"/>
    <w:rsid w:val="00163CF1"/>
    <w:rsid w:val="00620F66"/>
    <w:rsid w:val="0074076A"/>
    <w:rsid w:val="00D63081"/>
    <w:rsid w:val="00EF33A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F"/>
  </w:style>
  <w:style w:type="paragraph" w:styleId="1">
    <w:name w:val="heading 1"/>
    <w:basedOn w:val="a"/>
    <w:link w:val="10"/>
    <w:uiPriority w:val="9"/>
    <w:qFormat/>
    <w:rsid w:val="00620F6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20F6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0F66"/>
    <w:pPr>
      <w:spacing w:before="100" w:beforeAutospacing="1" w:after="100" w:afterAutospacing="1" w:line="240" w:lineRule="auto"/>
      <w:ind w:left="0" w:firstLine="0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D6308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2017-10-16T04:42:00Z</cp:lastPrinted>
  <dcterms:created xsi:type="dcterms:W3CDTF">2017-10-17T07:58:00Z</dcterms:created>
  <dcterms:modified xsi:type="dcterms:W3CDTF">2017-10-17T07:58:00Z</dcterms:modified>
</cp:coreProperties>
</file>